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52E" w:rsidRPr="00446D06" w:rsidRDefault="008317F4" w:rsidP="00BA252E">
      <w:pPr>
        <w:pStyle w:val="Auteurs"/>
        <w:rPr>
          <w:rFonts w:cs="Arial"/>
          <w:color w:val="000099"/>
          <w:sz w:val="28"/>
          <w:szCs w:val="28"/>
          <w:lang w:val="en-US"/>
        </w:rPr>
      </w:pPr>
      <w:bookmarkStart w:id="0" w:name="_GoBack"/>
      <w:bookmarkEnd w:id="0"/>
      <w:r w:rsidRPr="00446D06">
        <w:rPr>
          <w:rFonts w:cs="Arial"/>
          <w:bCs/>
          <w:color w:val="000099"/>
          <w:sz w:val="28"/>
          <w:szCs w:val="28"/>
          <w:lang w:val="en-US"/>
        </w:rPr>
        <w:t xml:space="preserve"> Catalysis for </w:t>
      </w:r>
      <w:r w:rsidR="00BA252E" w:rsidRPr="00446D06">
        <w:rPr>
          <w:rFonts w:cs="Arial"/>
          <w:bCs/>
          <w:color w:val="000099"/>
          <w:sz w:val="28"/>
          <w:szCs w:val="28"/>
          <w:lang w:val="en-US"/>
        </w:rPr>
        <w:t xml:space="preserve">Sustainable </w:t>
      </w:r>
      <w:r w:rsidR="00144E92">
        <w:rPr>
          <w:rFonts w:cs="Arial"/>
          <w:bCs/>
          <w:color w:val="000099"/>
          <w:sz w:val="28"/>
          <w:szCs w:val="28"/>
          <w:lang w:val="en-US"/>
        </w:rPr>
        <w:t>Development</w:t>
      </w:r>
      <w:r w:rsidR="0036122D">
        <w:rPr>
          <w:rFonts w:cs="Arial"/>
          <w:bCs/>
          <w:color w:val="000099"/>
          <w:sz w:val="28"/>
          <w:szCs w:val="28"/>
          <w:lang w:val="en-US"/>
        </w:rPr>
        <w:t>:</w:t>
      </w:r>
    </w:p>
    <w:p w:rsidR="00BA252E" w:rsidRPr="00BA252E" w:rsidRDefault="00144E92" w:rsidP="00BA252E">
      <w:pPr>
        <w:pStyle w:val="Auteurs"/>
        <w:rPr>
          <w:rFonts w:cs="Arial"/>
          <w:color w:val="000099"/>
          <w:sz w:val="28"/>
          <w:szCs w:val="28"/>
          <w:lang w:val="en-US"/>
        </w:rPr>
      </w:pPr>
      <w:r>
        <w:rPr>
          <w:rFonts w:cs="Arial"/>
          <w:bCs/>
          <w:color w:val="000099"/>
          <w:sz w:val="28"/>
          <w:szCs w:val="28"/>
          <w:lang w:val="en-US"/>
        </w:rPr>
        <w:t xml:space="preserve"> Recoverable </w:t>
      </w:r>
      <w:r w:rsidR="0036122D">
        <w:rPr>
          <w:rFonts w:cs="Arial"/>
          <w:bCs/>
          <w:color w:val="000099"/>
          <w:sz w:val="28"/>
          <w:szCs w:val="28"/>
          <w:lang w:val="en-US"/>
        </w:rPr>
        <w:t xml:space="preserve">homogeneous </w:t>
      </w:r>
      <w:r>
        <w:rPr>
          <w:rFonts w:cs="Arial"/>
          <w:bCs/>
          <w:color w:val="000099"/>
          <w:sz w:val="28"/>
          <w:szCs w:val="28"/>
          <w:lang w:val="en-US"/>
        </w:rPr>
        <w:t>catalysts and nanocatalysis</w:t>
      </w:r>
    </w:p>
    <w:p w:rsidR="00BA252E" w:rsidRPr="00BA252E" w:rsidRDefault="00BA252E" w:rsidP="00BA252E">
      <w:pPr>
        <w:pStyle w:val="Auteurs"/>
        <w:rPr>
          <w:rStyle w:val="Affililiations"/>
          <w:i w:val="0"/>
          <w:color w:val="000099"/>
          <w:sz w:val="28"/>
          <w:szCs w:val="28"/>
          <w:lang w:val="en-US"/>
        </w:rPr>
      </w:pPr>
    </w:p>
    <w:p w:rsidR="00BA252E" w:rsidRPr="00DC2167" w:rsidRDefault="0036122D" w:rsidP="00BA252E">
      <w:pPr>
        <w:pStyle w:val="Auteurs"/>
        <w:rPr>
          <w:rStyle w:val="Affililiations"/>
          <w:i w:val="0"/>
          <w:sz w:val="24"/>
          <w:lang w:val="en-US"/>
        </w:rPr>
      </w:pPr>
      <w:r>
        <w:rPr>
          <w:rStyle w:val="Affililiations"/>
          <w:i w:val="0"/>
          <w:sz w:val="24"/>
          <w:lang w:val="en-US"/>
        </w:rPr>
        <w:t xml:space="preserve">Prof. </w:t>
      </w:r>
      <w:r w:rsidR="00DC2167" w:rsidRPr="00DC2167">
        <w:rPr>
          <w:rStyle w:val="Affililiations"/>
          <w:i w:val="0"/>
          <w:sz w:val="24"/>
          <w:lang w:val="en-US"/>
        </w:rPr>
        <w:t>Carmen Claver</w:t>
      </w:r>
    </w:p>
    <w:p w:rsidR="00BA252E" w:rsidRPr="0036122D" w:rsidRDefault="00BA252E" w:rsidP="0036122D">
      <w:pPr>
        <w:pStyle w:val="Auteurs"/>
        <w:spacing w:after="240"/>
        <w:rPr>
          <w:i/>
          <w:lang w:val="en-US"/>
        </w:rPr>
      </w:pPr>
      <w:r>
        <w:rPr>
          <w:rStyle w:val="Affililiations"/>
          <w:lang w:val="en-US"/>
        </w:rPr>
        <w:t>Department of Physic Chemistry and Inorganic, University Rovira i Virgili, Centre Technologic of Chemistry CTQ, C/ Marcel•lí Domingo s/n, Tarragona, 43007, Spain.</w:t>
      </w:r>
    </w:p>
    <w:p w:rsidR="00BA252E" w:rsidRDefault="00BA252E" w:rsidP="00BA252E">
      <w:pPr>
        <w:pStyle w:val="Rsum"/>
        <w:rPr>
          <w:lang w:val="en-US"/>
        </w:rPr>
      </w:pPr>
      <w:r>
        <w:rPr>
          <w:lang w:val="en-US"/>
        </w:rPr>
        <w:t xml:space="preserve">In homogeneous catalysis with metal complexes the recovery of the catalyst is key issue for contributing to sustainable development. This presentation will describe in the first part the recycling of well-defined homogeneous catalytic systems: a) Carbene NHC-Pd complexes effectively immobilized onto silica, alumina and titania [1,2] have been used as catalysts in batch conditions for Suzuki-Miyaura and Sonogashira reactions. The NHC-Pd immobilized complexes have also been used in continuous flow conditions. High levels </w:t>
      </w:r>
      <w:r w:rsidR="00144E92">
        <w:rPr>
          <w:lang w:val="en-US"/>
        </w:rPr>
        <w:t xml:space="preserve">of conversion are obtained for </w:t>
      </w:r>
      <w:r>
        <w:rPr>
          <w:lang w:val="en-US"/>
        </w:rPr>
        <w:t>both NHC-Pd systems immobilized in Al</w:t>
      </w:r>
      <w:r>
        <w:rPr>
          <w:vertAlign w:val="subscript"/>
          <w:lang w:val="en-US"/>
        </w:rPr>
        <w:t>2</w:t>
      </w:r>
      <w:r>
        <w:rPr>
          <w:lang w:val="en-US"/>
        </w:rPr>
        <w:t>O</w:t>
      </w:r>
      <w:r>
        <w:rPr>
          <w:vertAlign w:val="subscript"/>
          <w:lang w:val="en-US"/>
        </w:rPr>
        <w:t>3</w:t>
      </w:r>
      <w:r>
        <w:rPr>
          <w:lang w:val="en-US"/>
        </w:rPr>
        <w:t xml:space="preserve"> and TiO</w:t>
      </w:r>
      <w:r>
        <w:rPr>
          <w:vertAlign w:val="subscript"/>
          <w:lang w:val="en-US"/>
        </w:rPr>
        <w:t>2</w:t>
      </w:r>
      <w:r>
        <w:rPr>
          <w:lang w:val="en-US"/>
        </w:rPr>
        <w:t xml:space="preserve"> supports. b) Recycled Zn catalysts bearing ligands containing a pyrrolidine scaffold are applied in the coupling of CO</w:t>
      </w:r>
      <w:r>
        <w:rPr>
          <w:vertAlign w:val="subscript"/>
          <w:lang w:val="en-US"/>
        </w:rPr>
        <w:t>2</w:t>
      </w:r>
      <w:r>
        <w:rPr>
          <w:lang w:val="en-US"/>
        </w:rPr>
        <w:t xml:space="preserve"> with terminal and internal epoxides, providing excellent activity and total selectivity to the corresponding cyclic carbonates.[3] (Figure 1)   </w:t>
      </w:r>
    </w:p>
    <w:p w:rsidR="00BA252E" w:rsidRDefault="0036122D" w:rsidP="00BA252E">
      <w:pPr>
        <w:pStyle w:val="Rsum"/>
        <w:rPr>
          <w:lang w:val="en-US"/>
        </w:rPr>
      </w:pPr>
      <w:r>
        <w:rPr>
          <w:noProof/>
          <w:lang w:val="da-DK" w:eastAsia="da-DK"/>
        </w:rPr>
        <w:drawing>
          <wp:anchor distT="0" distB="0" distL="114300" distR="114300" simplePos="0" relativeHeight="251656704" behindDoc="0" locked="0" layoutInCell="1" allowOverlap="1" wp14:anchorId="3B371FA7" wp14:editId="4CC61725">
            <wp:simplePos x="0" y="0"/>
            <wp:positionH relativeFrom="column">
              <wp:posOffset>1219200</wp:posOffset>
            </wp:positionH>
            <wp:positionV relativeFrom="paragraph">
              <wp:posOffset>106045</wp:posOffset>
            </wp:positionV>
            <wp:extent cx="1224280" cy="125412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cstate="print">
                      <a:extLst>
                        <a:ext uri="{28A0092B-C50C-407E-A947-70E740481C1C}">
                          <a14:useLocalDpi xmlns:a14="http://schemas.microsoft.com/office/drawing/2010/main" val="0"/>
                        </a:ext>
                      </a:extLst>
                    </a:blip>
                    <a:srcRect l="22870" t="8586" r="24403" b="8397"/>
                    <a:stretch>
                      <a:fillRect/>
                    </a:stretch>
                  </pic:blipFill>
                  <pic:spPr bwMode="auto">
                    <a:xfrm>
                      <a:off x="0" y="0"/>
                      <a:ext cx="1224280" cy="1254125"/>
                    </a:xfrm>
                    <a:prstGeom prst="rect">
                      <a:avLst/>
                    </a:prstGeom>
                    <a:noFill/>
                  </pic:spPr>
                </pic:pic>
              </a:graphicData>
            </a:graphic>
            <wp14:sizeRelH relativeFrom="page">
              <wp14:pctWidth>0</wp14:pctWidth>
            </wp14:sizeRelH>
            <wp14:sizeRelV relativeFrom="page">
              <wp14:pctHeight>0</wp14:pctHeight>
            </wp14:sizeRelV>
          </wp:anchor>
        </w:drawing>
      </w:r>
      <w:r w:rsidR="00A23988">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41.1pt;margin-top:14.15pt;width:167.3pt;height:90.45pt;z-index:251657728;mso-position-horizontal-relative:text;mso-position-vertical-relative:text">
            <v:imagedata r:id="rId5" o:title=""/>
          </v:shape>
          <o:OLEObject Type="Embed" ProgID="ChemDraw.Document.6.0" ShapeID="_x0000_s1028" DrawAspect="Content" ObjectID="_1534660454" r:id="rId6"/>
        </w:object>
      </w:r>
    </w:p>
    <w:p w:rsidR="00BA252E" w:rsidRDefault="00A23988" w:rsidP="00BA252E">
      <w:pPr>
        <w:pStyle w:val="Rsum"/>
        <w:rPr>
          <w:lang w:val="en-US"/>
        </w:rPr>
      </w:pPr>
      <w:r>
        <w:object w:dxaOrig="1440" w:dyaOrig="1440">
          <v:shape id="Object 1" o:spid="_x0000_s1027" type="#_x0000_t75" style="position:absolute;left:0;text-align:left;margin-left:-1.5pt;margin-top:9.2pt;width:103.7pt;height:73.45pt;z-index:251658752;visibility:visible;mso-position-horizontal-relative:text;mso-position-vertical-relative:text" fillcolor="#4f81bd">
            <v:imagedata r:id="rId7" o:title=""/>
            <v:shadow color="#eeece1"/>
          </v:shape>
          <o:OLEObject Type="Embed" ProgID="ChemDraw.Document.6.0" ShapeID="Object 1" DrawAspect="Content" ObjectID="_1534660455" r:id="rId8"/>
        </w:object>
      </w:r>
    </w:p>
    <w:p w:rsidR="00BA252E" w:rsidRDefault="00BA252E" w:rsidP="00BA252E">
      <w:pPr>
        <w:pStyle w:val="Rsum"/>
        <w:rPr>
          <w:lang w:val="en-US"/>
        </w:rPr>
      </w:pPr>
    </w:p>
    <w:p w:rsidR="00BA252E" w:rsidRDefault="00BA252E" w:rsidP="00BA252E">
      <w:pPr>
        <w:pStyle w:val="Rsum"/>
        <w:rPr>
          <w:lang w:val="en-US"/>
        </w:rPr>
      </w:pPr>
    </w:p>
    <w:p w:rsidR="00BA252E" w:rsidRDefault="00BA252E" w:rsidP="00BA252E">
      <w:pPr>
        <w:pStyle w:val="Rsum"/>
        <w:rPr>
          <w:lang w:val="en-US"/>
        </w:rPr>
      </w:pPr>
      <w:r>
        <w:rPr>
          <w:lang w:val="en-US"/>
        </w:rPr>
        <w:t xml:space="preserve"> </w:t>
      </w:r>
    </w:p>
    <w:p w:rsidR="00BA252E" w:rsidRDefault="0036122D" w:rsidP="00BA252E">
      <w:pPr>
        <w:pStyle w:val="Rsum"/>
        <w:rPr>
          <w:lang w:val="en-US"/>
        </w:rPr>
      </w:pPr>
      <w:r>
        <w:rPr>
          <w:lang w:val="en-US"/>
        </w:rPr>
        <w:t xml:space="preserve"> </w:t>
      </w:r>
    </w:p>
    <w:p w:rsidR="00BA252E" w:rsidRDefault="00BA252E" w:rsidP="0036122D">
      <w:pPr>
        <w:pStyle w:val="Rsum"/>
        <w:rPr>
          <w:sz w:val="16"/>
          <w:szCs w:val="16"/>
          <w:lang w:val="en-US"/>
        </w:rPr>
      </w:pPr>
      <w:r>
        <w:rPr>
          <w:sz w:val="16"/>
          <w:szCs w:val="16"/>
          <w:lang w:val="en-US"/>
        </w:rPr>
        <w:t xml:space="preserve">Figure 1. Homogeneous recoverable catalysts </w:t>
      </w:r>
      <w:r>
        <w:rPr>
          <w:sz w:val="16"/>
          <w:szCs w:val="16"/>
          <w:lang w:val="en-US"/>
        </w:rPr>
        <w:tab/>
      </w:r>
      <w:r>
        <w:rPr>
          <w:sz w:val="16"/>
          <w:szCs w:val="16"/>
          <w:lang w:val="en-US"/>
        </w:rPr>
        <w:tab/>
      </w:r>
      <w:r w:rsidR="0036122D">
        <w:rPr>
          <w:sz w:val="16"/>
          <w:szCs w:val="16"/>
          <w:lang w:val="en-US"/>
        </w:rPr>
        <w:t xml:space="preserve"> </w:t>
      </w:r>
      <w:r>
        <w:rPr>
          <w:sz w:val="16"/>
          <w:szCs w:val="16"/>
          <w:lang w:val="en-US"/>
        </w:rPr>
        <w:tab/>
      </w:r>
      <w:r w:rsidR="0036122D">
        <w:rPr>
          <w:sz w:val="16"/>
          <w:szCs w:val="16"/>
          <w:lang w:val="en-US"/>
        </w:rPr>
        <w:t xml:space="preserve">        </w:t>
      </w:r>
      <w:r>
        <w:rPr>
          <w:sz w:val="16"/>
          <w:szCs w:val="16"/>
          <w:lang w:val="en-US"/>
        </w:rPr>
        <w:t>Figure 2. Rh nanoparticles for hydrogenation</w:t>
      </w:r>
    </w:p>
    <w:p w:rsidR="00BA252E" w:rsidRDefault="00BA252E" w:rsidP="00BA252E">
      <w:pPr>
        <w:pStyle w:val="Rsum"/>
        <w:rPr>
          <w:rFonts w:cs="Arial"/>
          <w:szCs w:val="22"/>
          <w:u w:val="single"/>
          <w:lang w:val="en-US"/>
        </w:rPr>
      </w:pPr>
      <w:r>
        <w:rPr>
          <w:lang w:val="en-US"/>
        </w:rPr>
        <w:t>The second part  will focus on Rh nanoparticles for selective hydrogenation.</w:t>
      </w:r>
      <w:r>
        <w:rPr>
          <w:color w:val="0070C0"/>
          <w:lang w:val="en-US"/>
        </w:rPr>
        <w:t xml:space="preserve"> </w:t>
      </w:r>
      <w:r>
        <w:rPr>
          <w:lang w:val="en-US"/>
        </w:rPr>
        <w:t>Transition metal-nanoparticles have received a great deal of attention as catalysts since they potentially combine the advantages of heterogeneous and homogeneous catalysts. However, to date, the fine tuning of the properties of this type of catalysts to achieve specific selectivity remains a challenge. Ligands such as phosphines, phosphites and NHC-carbenes were shown to efficiently stabilize metal nanoparticles that are catalysts in the hydrogenation of various substrates.[4] To gain understanding into influence of the stabilizing ligands in catalysis, a series of Rh-nanoparticles were synthesized, characterized and their catalytic performances evaluated in the selective hydrogenation of arenes [5] and aromatic ketones.[6] (Figure 2) The results show that the nature of the ligand and steric properties clearly influence the catalytic performances of the nanocatalysts.</w:t>
      </w:r>
    </w:p>
    <w:p w:rsidR="00BA252E" w:rsidRDefault="00BA252E" w:rsidP="00BA252E">
      <w:pPr>
        <w:pStyle w:val="Rfrences"/>
        <w:rPr>
          <w:sz w:val="20"/>
        </w:rPr>
      </w:pPr>
      <w:r>
        <w:rPr>
          <w:sz w:val="20"/>
        </w:rPr>
        <w:t xml:space="preserve">[1] J. Krinsky, A. Martinez , C. Godard, S. Castillon, C. Claver  </w:t>
      </w:r>
      <w:r>
        <w:rPr>
          <w:i/>
          <w:sz w:val="20"/>
        </w:rPr>
        <w:t>Adv. Synth. Catal.,</w:t>
      </w:r>
      <w:r>
        <w:rPr>
          <w:sz w:val="20"/>
        </w:rPr>
        <w:t xml:space="preserve"> 356 (2014) 460</w:t>
      </w:r>
    </w:p>
    <w:p w:rsidR="00BA252E" w:rsidRDefault="00BA252E" w:rsidP="00BA252E">
      <w:pPr>
        <w:pStyle w:val="Rfrences"/>
        <w:rPr>
          <w:sz w:val="20"/>
        </w:rPr>
      </w:pPr>
      <w:r>
        <w:rPr>
          <w:sz w:val="20"/>
        </w:rPr>
        <w:t xml:space="preserve">[2] A. Martinez, J. Krinsky, I. Penafiel, S. Castillon, K. Loponov, A. Lapkin, C. Godard, C. Claver,  </w:t>
      </w:r>
      <w:r>
        <w:rPr>
          <w:i/>
          <w:sz w:val="20"/>
        </w:rPr>
        <w:t xml:space="preserve">Catal. Sci. Technol., </w:t>
      </w:r>
      <w:r>
        <w:rPr>
          <w:sz w:val="20"/>
        </w:rPr>
        <w:t>5 (2015) 310</w:t>
      </w:r>
    </w:p>
    <w:p w:rsidR="00BA252E" w:rsidRDefault="00BA252E" w:rsidP="00BA252E">
      <w:pPr>
        <w:pStyle w:val="Rfrences"/>
        <w:rPr>
          <w:sz w:val="20"/>
        </w:rPr>
      </w:pPr>
      <w:r>
        <w:rPr>
          <w:sz w:val="20"/>
        </w:rPr>
        <w:t xml:space="preserve">[3] Mercadé E.; Zangrando E.; Claver C.;  Godard C.; </w:t>
      </w:r>
      <w:r>
        <w:rPr>
          <w:i/>
          <w:sz w:val="20"/>
        </w:rPr>
        <w:t>ChemCatChem,</w:t>
      </w:r>
      <w:r>
        <w:rPr>
          <w:sz w:val="20"/>
        </w:rPr>
        <w:t xml:space="preserve"> (2015)</w:t>
      </w:r>
      <w:r>
        <w:t xml:space="preserve"> </w:t>
      </w:r>
      <w:r>
        <w:rPr>
          <w:sz w:val="20"/>
        </w:rPr>
        <w:t>DOI: 10.1002/cctc.201500772</w:t>
      </w:r>
    </w:p>
    <w:p w:rsidR="00BA252E" w:rsidRPr="00BA252E" w:rsidRDefault="00BA252E" w:rsidP="00BA252E">
      <w:pPr>
        <w:pStyle w:val="Rfrences"/>
        <w:rPr>
          <w:sz w:val="20"/>
          <w:lang w:val="es-ES"/>
        </w:rPr>
      </w:pPr>
      <w:r>
        <w:rPr>
          <w:sz w:val="20"/>
        </w:rPr>
        <w:t xml:space="preserve">[4]a) A. Gual, C. Godard, K. Philippot, B. Chaudret, A. Denicourt-Nowicki, A. Roucoux, S. Castillón , C. Claver, </w:t>
      </w:r>
      <w:r>
        <w:rPr>
          <w:i/>
          <w:sz w:val="20"/>
        </w:rPr>
        <w:t>ChemSusChem,</w:t>
      </w:r>
      <w:r>
        <w:rPr>
          <w:sz w:val="20"/>
        </w:rPr>
        <w:t xml:space="preserve"> 2 (2009) 769 b)  D. Gonzalez, P. Lara, O. Rivada, S.  </w:t>
      </w:r>
      <w:r>
        <w:rPr>
          <w:sz w:val="20"/>
          <w:lang w:val="es-ES"/>
        </w:rPr>
        <w:t xml:space="preserve">Conejero, B. Chaudret, K. Philippot  P.W.N.M. van Leeuwen, </w:t>
      </w:r>
      <w:r>
        <w:rPr>
          <w:i/>
          <w:sz w:val="20"/>
          <w:lang w:val="es-ES"/>
        </w:rPr>
        <w:t xml:space="preserve">Catal. </w:t>
      </w:r>
      <w:r w:rsidRPr="00BA252E">
        <w:rPr>
          <w:i/>
          <w:sz w:val="20"/>
          <w:lang w:val="es-ES"/>
        </w:rPr>
        <w:t>Sci. Technol.,</w:t>
      </w:r>
      <w:r w:rsidRPr="00BA252E">
        <w:rPr>
          <w:sz w:val="20"/>
          <w:lang w:val="es-ES"/>
        </w:rPr>
        <w:t xml:space="preserve"> 3 (2013) 99</w:t>
      </w:r>
    </w:p>
    <w:p w:rsidR="00BA252E" w:rsidRPr="00BA252E" w:rsidRDefault="00BA252E" w:rsidP="00BA252E">
      <w:pPr>
        <w:pStyle w:val="Rfrences"/>
        <w:rPr>
          <w:sz w:val="20"/>
          <w:lang w:val="es-ES"/>
        </w:rPr>
      </w:pPr>
      <w:r w:rsidRPr="00BA252E">
        <w:rPr>
          <w:sz w:val="20"/>
          <w:lang w:val="es-ES"/>
        </w:rPr>
        <w:t>[5] J. Llop Castelbou, A. Gual, E. Mercade ́, C. Claver, C. Godard</w:t>
      </w:r>
      <w:r w:rsidRPr="00BA252E">
        <w:rPr>
          <w:i/>
          <w:sz w:val="20"/>
          <w:lang w:val="es-ES"/>
        </w:rPr>
        <w:t>, Catal. Sci.Technol</w:t>
      </w:r>
      <w:r w:rsidRPr="00BA252E">
        <w:rPr>
          <w:sz w:val="20"/>
          <w:lang w:val="es-ES"/>
        </w:rPr>
        <w:t xml:space="preserve">., 3 (2013) 2828. </w:t>
      </w:r>
    </w:p>
    <w:p w:rsidR="00BA252E" w:rsidRPr="00BA252E" w:rsidRDefault="00BA252E" w:rsidP="00BA252E">
      <w:pPr>
        <w:pStyle w:val="Rfrences"/>
        <w:rPr>
          <w:sz w:val="20"/>
          <w:lang w:val="es-ES"/>
        </w:rPr>
      </w:pPr>
      <w:r w:rsidRPr="00BA252E">
        <w:rPr>
          <w:sz w:val="20"/>
          <w:lang w:val="es-ES"/>
        </w:rPr>
        <w:t xml:space="preserve">[6] J. Llop Castelbou, E. Bresó-Femenia, P. Blondeau, B. Chaudret, S. Castillón, C. Claver, C. Godard </w:t>
      </w:r>
      <w:r w:rsidRPr="00BA252E">
        <w:rPr>
          <w:i/>
          <w:sz w:val="20"/>
          <w:lang w:val="es-ES"/>
        </w:rPr>
        <w:t>ChemCatChem</w:t>
      </w:r>
      <w:r w:rsidRPr="00BA252E">
        <w:rPr>
          <w:sz w:val="20"/>
          <w:lang w:val="es-ES"/>
        </w:rPr>
        <w:t>, 6 (2014) 3160</w:t>
      </w:r>
    </w:p>
    <w:p w:rsidR="00A55B29" w:rsidRPr="00BA252E" w:rsidRDefault="00A55B29">
      <w:pPr>
        <w:rPr>
          <w:lang w:val="es-ES"/>
        </w:rPr>
      </w:pPr>
    </w:p>
    <w:sectPr w:rsidR="00A55B29" w:rsidRPr="00BA252E" w:rsidSect="0036122D">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2E"/>
    <w:rsid w:val="00144E92"/>
    <w:rsid w:val="0036122D"/>
    <w:rsid w:val="00446D06"/>
    <w:rsid w:val="007B64F5"/>
    <w:rsid w:val="008317F4"/>
    <w:rsid w:val="00A121B8"/>
    <w:rsid w:val="00A23988"/>
    <w:rsid w:val="00A55B29"/>
    <w:rsid w:val="00BA252E"/>
    <w:rsid w:val="00DC2167"/>
    <w:rsid w:val="00F37993"/>
    <w:rsid w:val="00FC32F0"/>
    <w:rsid w:val="00FE14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3FD808DC-6739-4FFF-A94C-4C1692FE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52E"/>
    <w:pPr>
      <w:spacing w:after="0" w:line="240" w:lineRule="auto"/>
    </w:pPr>
    <w:rPr>
      <w:rFonts w:ascii="Times New Roman" w:eastAsia="Times New Roman" w:hAnsi="Times New Roman" w:cs="Times New Roman"/>
      <w:sz w:val="2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eurs">
    <w:name w:val="Auteurs"/>
    <w:basedOn w:val="Normal"/>
    <w:next w:val="Rfrences"/>
    <w:rsid w:val="00BA252E"/>
    <w:pPr>
      <w:jc w:val="center"/>
    </w:pPr>
    <w:rPr>
      <w:rFonts w:ascii="Arial" w:hAnsi="Arial"/>
      <w:sz w:val="22"/>
      <w:szCs w:val="24"/>
      <w:lang w:eastAsia="en-US"/>
    </w:rPr>
  </w:style>
  <w:style w:type="paragraph" w:customStyle="1" w:styleId="Titredelacontribution">
    <w:name w:val="Titre de la contribution"/>
    <w:basedOn w:val="Normal"/>
    <w:next w:val="Auteurs"/>
    <w:rsid w:val="00BA252E"/>
    <w:pPr>
      <w:spacing w:after="120"/>
      <w:jc w:val="center"/>
    </w:pPr>
    <w:rPr>
      <w:rFonts w:ascii="Arial" w:hAnsi="Arial"/>
      <w:b/>
      <w:sz w:val="28"/>
      <w:szCs w:val="28"/>
      <w:lang w:val="en-US" w:eastAsia="en-US"/>
    </w:rPr>
  </w:style>
  <w:style w:type="paragraph" w:customStyle="1" w:styleId="Rfrences">
    <w:name w:val="Références"/>
    <w:basedOn w:val="Normal"/>
    <w:rsid w:val="00BA252E"/>
    <w:rPr>
      <w:rFonts w:ascii="Arial" w:hAnsi="Arial"/>
      <w:sz w:val="22"/>
      <w:szCs w:val="24"/>
      <w:lang w:val="en-US" w:eastAsia="en-US"/>
    </w:rPr>
  </w:style>
  <w:style w:type="paragraph" w:customStyle="1" w:styleId="Rsum">
    <w:name w:val="Résumé"/>
    <w:basedOn w:val="Normal"/>
    <w:rsid w:val="00BA252E"/>
    <w:pPr>
      <w:spacing w:after="120"/>
      <w:jc w:val="both"/>
    </w:pPr>
    <w:rPr>
      <w:rFonts w:ascii="Arial" w:hAnsi="Arial"/>
      <w:sz w:val="22"/>
    </w:rPr>
  </w:style>
  <w:style w:type="character" w:customStyle="1" w:styleId="Affililiations">
    <w:name w:val="Affililiations"/>
    <w:rsid w:val="00BA252E"/>
    <w:rPr>
      <w:rFonts w:ascii="Arial" w:hAnsi="Arial" w:cs="Arial" w:hint="default"/>
      <w:i/>
      <w:iCs w:val="0"/>
      <w:strike w:val="0"/>
      <w:dstrike w:val="0"/>
      <w:sz w:val="22"/>
      <w:szCs w:val="24"/>
      <w:u w:val="none"/>
      <w:effect w:val="none"/>
      <w:vertAlign w:val="baseline"/>
      <w:lang w:val="fr-F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036603">
      <w:bodyDiv w:val="1"/>
      <w:marLeft w:val="0"/>
      <w:marRight w:val="0"/>
      <w:marTop w:val="0"/>
      <w:marBottom w:val="0"/>
      <w:divBdr>
        <w:top w:val="none" w:sz="0" w:space="0" w:color="auto"/>
        <w:left w:val="none" w:sz="0" w:space="0" w:color="auto"/>
        <w:bottom w:val="none" w:sz="0" w:space="0" w:color="auto"/>
        <w:right w:val="none" w:sz="0" w:space="0" w:color="auto"/>
      </w:divBdr>
    </w:div>
    <w:div w:id="214311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2635</Characters>
  <Application>Microsoft Office Word</Application>
  <DocSecurity>4</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DTU</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Anne Frejberg</cp:lastModifiedBy>
  <cp:revision>2</cp:revision>
  <dcterms:created xsi:type="dcterms:W3CDTF">2016-09-06T07:48:00Z</dcterms:created>
  <dcterms:modified xsi:type="dcterms:W3CDTF">2016-09-06T07:48:00Z</dcterms:modified>
</cp:coreProperties>
</file>